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17BE6" w14:textId="77777777" w:rsidR="00D0027D" w:rsidRPr="00D0027D" w:rsidRDefault="00D0027D" w:rsidP="00D0027D">
      <w:pPr>
        <w:numPr>
          <w:ilvl w:val="0"/>
          <w:numId w:val="2"/>
        </w:numPr>
        <w:jc w:val="both"/>
        <w:rPr>
          <w:rFonts w:ascii="Bookman Old Style" w:hAnsi="Bookman Old Style"/>
        </w:rPr>
      </w:pPr>
      <w:r w:rsidRPr="00D0027D">
        <w:rPr>
          <w:rFonts w:ascii="Bookman Old Style" w:hAnsi="Bookman Old Style"/>
        </w:rPr>
        <w:t>Request you to kindly share us Foreign Indian Remittance Bank Details,</w:t>
      </w:r>
    </w:p>
    <w:p w14:paraId="050DC4B9" w14:textId="17C48EFE" w:rsidR="00D0027D" w:rsidRPr="00D0027D" w:rsidRDefault="00D0027D" w:rsidP="00D0027D">
      <w:pPr>
        <w:spacing w:before="240" w:after="240" w:line="240" w:lineRule="auto"/>
        <w:ind w:left="360"/>
        <w:jc w:val="both"/>
        <w:textAlignment w:val="baseline"/>
        <w:rPr>
          <w:rFonts w:ascii="Bookman Old Style" w:eastAsia="Times New Roman" w:hAnsi="Bookman Old Style" w:cs="Times New Roman"/>
          <w:color w:val="000000"/>
          <w:kern w:val="0"/>
          <w:lang w:eastAsia="en-GB"/>
          <w14:ligatures w14:val="none"/>
        </w:rPr>
      </w:pPr>
      <w:r w:rsidRPr="00D0027D">
        <w:rPr>
          <w:rFonts w:ascii="Bookman Old Style" w:eastAsia="Times New Roman" w:hAnsi="Bookman Old Style" w:cs="Times New Roman"/>
          <w:b/>
          <w:bCs/>
          <w:color w:val="000000"/>
          <w:kern w:val="0"/>
          <w:lang w:eastAsia="en-GB"/>
          <w14:ligatures w14:val="none"/>
        </w:rPr>
        <w:t>Response:</w:t>
      </w:r>
      <w:r w:rsidRPr="00D0027D">
        <w:rPr>
          <w:rFonts w:ascii="Bookman Old Style" w:eastAsia="Times New Roman" w:hAnsi="Bookman Old Style" w:cs="Times New Roman"/>
          <w:color w:val="000000"/>
          <w:kern w:val="0"/>
          <w:lang w:eastAsia="en-GB"/>
          <w14:ligatures w14:val="none"/>
        </w:rPr>
        <w:t xml:space="preserve"> Although we have a foreign remittance account, we face significant difficulties during the refund process for the, as the bank does not accept these refunds due to income remittances being processed through foreign accounts. Further F&amp;AD, suggest and recommend bank details uploaded in the website.</w:t>
      </w:r>
    </w:p>
    <w:p w14:paraId="38BAF06F" w14:textId="77777777" w:rsidR="00D0027D" w:rsidRPr="00D0027D" w:rsidRDefault="00D0027D" w:rsidP="00D0027D">
      <w:pPr>
        <w:numPr>
          <w:ilvl w:val="0"/>
          <w:numId w:val="2"/>
        </w:numPr>
        <w:jc w:val="both"/>
        <w:rPr>
          <w:rFonts w:ascii="Bookman Old Style" w:hAnsi="Bookman Old Style"/>
        </w:rPr>
      </w:pPr>
      <w:r w:rsidRPr="00D0027D">
        <w:rPr>
          <w:rFonts w:ascii="Bookman Old Style" w:hAnsi="Bookman Old Style"/>
        </w:rPr>
        <w:t>Additionally, I would appreciate your clarification on the difference between Ann A1 and A2, as it is crucial for our understanding moving forward.</w:t>
      </w:r>
    </w:p>
    <w:p w14:paraId="442734DF" w14:textId="489F5544" w:rsidR="00D0027D" w:rsidRPr="00D0027D" w:rsidRDefault="00D0027D" w:rsidP="00D0027D">
      <w:pPr>
        <w:ind w:left="360"/>
        <w:jc w:val="both"/>
        <w:rPr>
          <w:rFonts w:ascii="Bookman Old Style" w:hAnsi="Bookman Old Style"/>
        </w:rPr>
      </w:pPr>
      <w:r w:rsidRPr="00D0027D">
        <w:rPr>
          <w:rFonts w:ascii="Bookman Old Style" w:hAnsi="Bookman Old Style"/>
          <w:b/>
          <w:bCs/>
        </w:rPr>
        <w:t>Response:</w:t>
      </w:r>
      <w:r w:rsidRPr="00D0027D">
        <w:rPr>
          <w:rFonts w:ascii="Bookman Old Style" w:hAnsi="Bookman Old Style"/>
        </w:rPr>
        <w:t xml:space="preserve"> Annexure 1 is for the Earnest Money Deposit (EMD), which can be also done through fund transfer, and Annexure 2 is for the bank guarantee, which needs to be submitted only by the successful bidder.</w:t>
      </w:r>
    </w:p>
    <w:p w14:paraId="76A6AFE8" w14:textId="77777777" w:rsidR="00D0027D" w:rsidRPr="00D0027D" w:rsidRDefault="00D0027D" w:rsidP="00D0027D">
      <w:pPr>
        <w:numPr>
          <w:ilvl w:val="0"/>
          <w:numId w:val="2"/>
        </w:numPr>
        <w:jc w:val="both"/>
        <w:rPr>
          <w:rFonts w:ascii="Bookman Old Style" w:hAnsi="Bookman Old Style"/>
        </w:rPr>
      </w:pPr>
      <w:r w:rsidRPr="00D0027D">
        <w:rPr>
          <w:rFonts w:ascii="Bookman Old Style" w:hAnsi="Bookman Old Style"/>
        </w:rPr>
        <w:t>Furthermore, I would like to inquire if it is possible to pay the Bid cost of 1000 via NEFT while processing the EMD amount as a separate transaction. Your guidance on this matter would be greatly appreciated.</w:t>
      </w:r>
    </w:p>
    <w:p w14:paraId="7277B25E" w14:textId="018B314E" w:rsidR="00D0027D" w:rsidRPr="00D0027D" w:rsidRDefault="00D0027D" w:rsidP="00D0027D">
      <w:pPr>
        <w:ind w:left="360"/>
        <w:jc w:val="both"/>
        <w:rPr>
          <w:rFonts w:ascii="Bookman Old Style" w:hAnsi="Bookman Old Style"/>
        </w:rPr>
      </w:pPr>
      <w:r w:rsidRPr="00D0027D">
        <w:rPr>
          <w:rFonts w:ascii="Bookman Old Style" w:hAnsi="Bookman Old Style"/>
          <w:b/>
          <w:bCs/>
        </w:rPr>
        <w:t xml:space="preserve">Response: </w:t>
      </w:r>
      <w:r w:rsidRPr="00D0027D">
        <w:rPr>
          <w:rFonts w:ascii="Bookman Old Style" w:hAnsi="Bookman Old Style"/>
        </w:rPr>
        <w:t xml:space="preserve">The bid cost is required to be deposited separately, as it is non-refundable, whereas the EMD is refundable and should be transferred to our account (Bank details uploaded in our website). </w:t>
      </w:r>
    </w:p>
    <w:p w14:paraId="17D1E887" w14:textId="378FA5A3" w:rsidR="00D0027D" w:rsidRPr="00D0027D" w:rsidRDefault="00D0027D" w:rsidP="00D0027D">
      <w:pPr>
        <w:ind w:left="360"/>
        <w:jc w:val="both"/>
        <w:rPr>
          <w:rFonts w:ascii="Bookman Old Style" w:hAnsi="Bookman Old Style"/>
        </w:rPr>
      </w:pPr>
      <w:r w:rsidRPr="00D0027D">
        <w:rPr>
          <w:rFonts w:ascii="Bookman Old Style" w:hAnsi="Bookman Old Style"/>
        </w:rPr>
        <w:t>You visit our website and go through details.</w:t>
      </w:r>
    </w:p>
    <w:p w14:paraId="37D177D2" w14:textId="77777777" w:rsidR="00ED433F" w:rsidRPr="00D0027D" w:rsidRDefault="00ED433F" w:rsidP="00D0027D">
      <w:pPr>
        <w:jc w:val="both"/>
        <w:rPr>
          <w:rFonts w:ascii="Bookman Old Style" w:hAnsi="Bookman Old Style"/>
        </w:rPr>
      </w:pPr>
    </w:p>
    <w:sectPr w:rsidR="00ED433F" w:rsidRPr="00D00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A7B31"/>
    <w:multiLevelType w:val="multilevel"/>
    <w:tmpl w:val="D9C8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42188"/>
    <w:multiLevelType w:val="multilevel"/>
    <w:tmpl w:val="0A6E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660989">
    <w:abstractNumId w:val="0"/>
  </w:num>
  <w:num w:numId="2" w16cid:durableId="112215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7D"/>
    <w:rsid w:val="00014288"/>
    <w:rsid w:val="004426C2"/>
    <w:rsid w:val="00592F0B"/>
    <w:rsid w:val="00BB307A"/>
    <w:rsid w:val="00D0027D"/>
    <w:rsid w:val="00DF62BC"/>
    <w:rsid w:val="00ED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93AF"/>
  <w15:chartTrackingRefBased/>
  <w15:docId w15:val="{4276304C-D132-45AF-941C-65DFA29C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2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02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02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02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02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0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2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02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02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02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02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0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27D"/>
    <w:rPr>
      <w:rFonts w:eastAsiaTheme="majorEastAsia" w:cstheme="majorBidi"/>
      <w:color w:val="272727" w:themeColor="text1" w:themeTint="D8"/>
    </w:rPr>
  </w:style>
  <w:style w:type="paragraph" w:styleId="Title">
    <w:name w:val="Title"/>
    <w:basedOn w:val="Normal"/>
    <w:next w:val="Normal"/>
    <w:link w:val="TitleChar"/>
    <w:uiPriority w:val="10"/>
    <w:qFormat/>
    <w:rsid w:val="00D00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27D"/>
    <w:pPr>
      <w:spacing w:before="160"/>
      <w:jc w:val="center"/>
    </w:pPr>
    <w:rPr>
      <w:i/>
      <w:iCs/>
      <w:color w:val="404040" w:themeColor="text1" w:themeTint="BF"/>
    </w:rPr>
  </w:style>
  <w:style w:type="character" w:customStyle="1" w:styleId="QuoteChar">
    <w:name w:val="Quote Char"/>
    <w:basedOn w:val="DefaultParagraphFont"/>
    <w:link w:val="Quote"/>
    <w:uiPriority w:val="29"/>
    <w:rsid w:val="00D0027D"/>
    <w:rPr>
      <w:i/>
      <w:iCs/>
      <w:color w:val="404040" w:themeColor="text1" w:themeTint="BF"/>
    </w:rPr>
  </w:style>
  <w:style w:type="paragraph" w:styleId="ListParagraph">
    <w:name w:val="List Paragraph"/>
    <w:basedOn w:val="Normal"/>
    <w:uiPriority w:val="34"/>
    <w:qFormat/>
    <w:rsid w:val="00D0027D"/>
    <w:pPr>
      <w:ind w:left="720"/>
      <w:contextualSpacing/>
    </w:pPr>
  </w:style>
  <w:style w:type="character" w:styleId="IntenseEmphasis">
    <w:name w:val="Intense Emphasis"/>
    <w:basedOn w:val="DefaultParagraphFont"/>
    <w:uiPriority w:val="21"/>
    <w:qFormat/>
    <w:rsid w:val="00D0027D"/>
    <w:rPr>
      <w:i/>
      <w:iCs/>
      <w:color w:val="2F5496" w:themeColor="accent1" w:themeShade="BF"/>
    </w:rPr>
  </w:style>
  <w:style w:type="paragraph" w:styleId="IntenseQuote">
    <w:name w:val="Intense Quote"/>
    <w:basedOn w:val="Normal"/>
    <w:next w:val="Normal"/>
    <w:link w:val="IntenseQuoteChar"/>
    <w:uiPriority w:val="30"/>
    <w:qFormat/>
    <w:rsid w:val="00D00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027D"/>
    <w:rPr>
      <w:i/>
      <w:iCs/>
      <w:color w:val="2F5496" w:themeColor="accent1" w:themeShade="BF"/>
    </w:rPr>
  </w:style>
  <w:style w:type="character" w:styleId="IntenseReference">
    <w:name w:val="Intense Reference"/>
    <w:basedOn w:val="DefaultParagraphFont"/>
    <w:uiPriority w:val="32"/>
    <w:qFormat/>
    <w:rsid w:val="00D00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34210">
      <w:bodyDiv w:val="1"/>
      <w:marLeft w:val="0"/>
      <w:marRight w:val="0"/>
      <w:marTop w:val="0"/>
      <w:marBottom w:val="0"/>
      <w:divBdr>
        <w:top w:val="none" w:sz="0" w:space="0" w:color="auto"/>
        <w:left w:val="none" w:sz="0" w:space="0" w:color="auto"/>
        <w:bottom w:val="none" w:sz="0" w:space="0" w:color="auto"/>
        <w:right w:val="none" w:sz="0" w:space="0" w:color="auto"/>
      </w:divBdr>
      <w:divsChild>
        <w:div w:id="2001344357">
          <w:marLeft w:val="0"/>
          <w:marRight w:val="0"/>
          <w:marTop w:val="240"/>
          <w:marBottom w:val="240"/>
          <w:divBdr>
            <w:top w:val="none" w:sz="0" w:space="0" w:color="auto"/>
            <w:left w:val="none" w:sz="0" w:space="0" w:color="auto"/>
            <w:bottom w:val="none" w:sz="0" w:space="0" w:color="auto"/>
            <w:right w:val="none" w:sz="0" w:space="0" w:color="auto"/>
          </w:divBdr>
        </w:div>
      </w:divsChild>
    </w:div>
    <w:div w:id="1090155201">
      <w:bodyDiv w:val="1"/>
      <w:marLeft w:val="0"/>
      <w:marRight w:val="0"/>
      <w:marTop w:val="0"/>
      <w:marBottom w:val="0"/>
      <w:divBdr>
        <w:top w:val="none" w:sz="0" w:space="0" w:color="auto"/>
        <w:left w:val="none" w:sz="0" w:space="0" w:color="auto"/>
        <w:bottom w:val="none" w:sz="0" w:space="0" w:color="auto"/>
        <w:right w:val="none" w:sz="0" w:space="0" w:color="auto"/>
      </w:divBdr>
    </w:div>
    <w:div w:id="13042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SONAM WANGCHUK</dc:creator>
  <cp:keywords/>
  <dc:description/>
  <cp:lastModifiedBy>MR. SONAM WANGCHUK</cp:lastModifiedBy>
  <cp:revision>2</cp:revision>
  <dcterms:created xsi:type="dcterms:W3CDTF">2025-02-13T08:10:00Z</dcterms:created>
  <dcterms:modified xsi:type="dcterms:W3CDTF">2025-02-13T08:17:00Z</dcterms:modified>
</cp:coreProperties>
</file>